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„Mobility 2032. Czy jesteś gotowy?” – najnowszy raport PITD objęty patronatem przez GlobKurier.pl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 „Mobility 2032. Czy jesteś gotowy?” odpowiada na pytania, jak będzie wyglądał transport drogowy w 2032 roku. Odnosi się do wyzwań technologicznych, celów polityki klimatycznej względem transportu, a także tego, jak nowoczesna flota wpływa na walkę z emisją CO2. Zrealizowany we współpracy z Webfleet Solutions.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priorytety branży TSL w nadchodzących latach?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Instytut Transportu Drogowego przeprowadził badania wśród 110 osób, z czego 53% reprezentowało branżę transportową. Wyniki są interesujące. </w:t>
      </w:r>
      <w:r>
        <w:rPr>
          <w:rFonts w:ascii="calibri" w:hAnsi="calibri" w:eastAsia="calibri" w:cs="calibri"/>
          <w:sz w:val="24"/>
          <w:szCs w:val="24"/>
          <w:b/>
        </w:rPr>
        <w:t xml:space="preserve">60%</w:t>
      </w:r>
      <w:r>
        <w:rPr>
          <w:rFonts w:ascii="calibri" w:hAnsi="calibri" w:eastAsia="calibri" w:cs="calibri"/>
          <w:sz w:val="24"/>
          <w:szCs w:val="24"/>
        </w:rPr>
        <w:t xml:space="preserve"> respondentów rozumie, że nadchodzi koniec ery aut spalinowych, także w transporcie drogowym rzeczy, ale tylko dla 15% elektryfikacja floty jest w tej chwili najwyższym priorytetem.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Zdiagnozowano priorytety dla firm z branży TSL w postaci: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automatyzacji procesów, cyberbezpieczeństwa, przeszkolonego personelu w zakresie umiejętności cyfrowych, a także większej integracji firmowych systemów z giełdami i platformami cyfrowymi.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raporcie znajdują się także wywiady z ekspertami, reprezentującymi firmy transportowe i kurierskie.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blokuje firmy przed szerokim wdrożeniem zielonych technologii? Co może dać przedsiębiorstwom szersze zastosowania telematyki? Jak przygotować się do rewolucji cyfrowej? Na te i szereg innych pytań znajdziecie Państwo odpowiedzi w najnowszym raporcie: „Mobility 2032. Czy jesteś gotowy?”, który można BEZPŁATNIE pobrać ze strony: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https://pitd.org.pl/mobility-raport/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td.org.pl/mobility-ra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2025-11-03T09:32:13+01:00</dcterms:created>
  <dcterms:modified xsi:type="dcterms:W3CDTF">2025-11-03T09:32:13+01:00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